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01" w:rsidRDefault="006F6050" w:rsidP="006F6050">
      <w:pPr>
        <w:jc w:val="center"/>
        <w:rPr>
          <w:sz w:val="24"/>
          <w:szCs w:val="24"/>
        </w:rPr>
      </w:pPr>
      <w:r>
        <w:rPr>
          <w:sz w:val="24"/>
          <w:szCs w:val="24"/>
        </w:rPr>
        <w:t>INLAND EMPIRE CCI Stakeholder Advisory Committee Meeting</w:t>
      </w:r>
    </w:p>
    <w:p w:rsidR="006F6050" w:rsidRDefault="006F6050" w:rsidP="006F605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Minutes for November 17, 2020 @ 1:30pm – 2:30pm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6390"/>
        <w:gridCol w:w="2155"/>
      </w:tblGrid>
      <w:tr w:rsidR="006F6050" w:rsidTr="006F6050">
        <w:tc>
          <w:tcPr>
            <w:tcW w:w="5125" w:type="dxa"/>
          </w:tcPr>
          <w:p w:rsidR="006F6050" w:rsidRPr="006F6050" w:rsidRDefault="006F6050" w:rsidP="006F6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6390" w:type="dxa"/>
          </w:tcPr>
          <w:p w:rsidR="006F6050" w:rsidRPr="006F6050" w:rsidRDefault="006F6050" w:rsidP="006F6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of Agenda Item</w:t>
            </w:r>
          </w:p>
        </w:tc>
        <w:tc>
          <w:tcPr>
            <w:tcW w:w="2155" w:type="dxa"/>
          </w:tcPr>
          <w:p w:rsidR="006F6050" w:rsidRPr="006F6050" w:rsidRDefault="006F6050" w:rsidP="006F6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6F6050" w:rsidTr="006F6050">
        <w:tc>
          <w:tcPr>
            <w:tcW w:w="5125" w:type="dxa"/>
          </w:tcPr>
          <w:p w:rsidR="006F6050" w:rsidRDefault="002B7265" w:rsidP="006F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 </w:t>
            </w:r>
            <w:r w:rsidR="006F6050" w:rsidRPr="006F6050">
              <w:rPr>
                <w:sz w:val="24"/>
                <w:szCs w:val="24"/>
              </w:rPr>
              <w:t>Welcome, Introductions and Announcements</w:t>
            </w:r>
          </w:p>
          <w:p w:rsidR="006F6050" w:rsidRDefault="006F6050" w:rsidP="006F605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i/>
                <w:sz w:val="24"/>
                <w:szCs w:val="24"/>
              </w:rPr>
              <w:t>Hector Garcia</w:t>
            </w:r>
          </w:p>
          <w:p w:rsidR="006F6050" w:rsidRPr="006F6050" w:rsidRDefault="006F6050" w:rsidP="006F6050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E964C1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 were made for all in attendance and those on the phone.</w:t>
            </w:r>
          </w:p>
          <w:p w:rsidR="00E964C1" w:rsidRDefault="00E964C1" w:rsidP="00E964C1">
            <w:pPr>
              <w:rPr>
                <w:sz w:val="24"/>
                <w:szCs w:val="24"/>
              </w:rPr>
            </w:pPr>
          </w:p>
          <w:p w:rsidR="00E964C1" w:rsidRDefault="00E964C1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was captured as attendees signed into the WebEx and verified throughout the meeting.</w:t>
            </w:r>
          </w:p>
          <w:p w:rsidR="00E964C1" w:rsidRDefault="00E964C1" w:rsidP="00E964C1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F6050" w:rsidRPr="002B7265" w:rsidRDefault="002B7265" w:rsidP="006F60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Action Required</w:t>
            </w:r>
          </w:p>
        </w:tc>
      </w:tr>
      <w:tr w:rsidR="006F6050" w:rsidTr="006F6050">
        <w:tc>
          <w:tcPr>
            <w:tcW w:w="5125" w:type="dxa"/>
          </w:tcPr>
          <w:p w:rsidR="006F6050" w:rsidRDefault="006F6050" w:rsidP="006F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 Acceptance of minutes from October 20, 2020 and Committee Nominations</w:t>
            </w:r>
          </w:p>
          <w:p w:rsidR="006F6050" w:rsidRDefault="006F6050" w:rsidP="006F605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i/>
                <w:sz w:val="24"/>
                <w:szCs w:val="24"/>
              </w:rPr>
              <w:t>Hector Garcia</w:t>
            </w:r>
          </w:p>
          <w:p w:rsidR="006F6050" w:rsidRPr="006F6050" w:rsidRDefault="006F6050" w:rsidP="006F6050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E964C1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motion was made and seconded to approve the Adoption of the Minutes from October 20, 2020.</w:t>
            </w:r>
          </w:p>
          <w:p w:rsidR="00E964C1" w:rsidRPr="00E359DD" w:rsidRDefault="00E964C1" w:rsidP="00E964C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E359DD">
              <w:rPr>
                <w:rFonts w:cstheme="minorHAnsi"/>
                <w:sz w:val="24"/>
                <w:szCs w:val="24"/>
                <w:highlight w:val="yellow"/>
              </w:rPr>
              <w:t>·  Motion by</w:t>
            </w:r>
          </w:p>
          <w:p w:rsidR="00E964C1" w:rsidRDefault="00E964C1" w:rsidP="00E964C1">
            <w:pPr>
              <w:rPr>
                <w:rFonts w:ascii="Calibri" w:hAnsi="Calibri" w:cs="Calibri"/>
                <w:sz w:val="24"/>
                <w:szCs w:val="24"/>
              </w:rPr>
            </w:pPr>
            <w:r w:rsidRPr="00E359DD">
              <w:rPr>
                <w:sz w:val="24"/>
                <w:szCs w:val="24"/>
                <w:highlight w:val="yellow"/>
              </w:rPr>
              <w:t xml:space="preserve">   </w:t>
            </w:r>
            <w:r w:rsidRPr="00E359DD">
              <w:rPr>
                <w:rFonts w:ascii="Calibri" w:hAnsi="Calibri" w:cs="Calibri"/>
                <w:sz w:val="24"/>
                <w:szCs w:val="24"/>
                <w:highlight w:val="yellow"/>
              </w:rPr>
              <w:t>·  Second by</w:t>
            </w:r>
          </w:p>
          <w:p w:rsidR="00E964C1" w:rsidRDefault="00E964C1" w:rsidP="00E964C1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F6050" w:rsidRPr="00E964C1" w:rsidRDefault="00E964C1" w:rsidP="00E964C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Action Required</w:t>
            </w:r>
          </w:p>
        </w:tc>
      </w:tr>
      <w:tr w:rsidR="006F6050" w:rsidTr="006F6050">
        <w:tc>
          <w:tcPr>
            <w:tcW w:w="5125" w:type="dxa"/>
          </w:tcPr>
          <w:p w:rsidR="006F6050" w:rsidRDefault="006F6050" w:rsidP="006F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r w:rsidR="002B7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 Action Log from October 20, 2020</w:t>
            </w:r>
          </w:p>
          <w:p w:rsidR="006F6050" w:rsidRPr="006F6050" w:rsidRDefault="006F6050" w:rsidP="006F605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i/>
                <w:sz w:val="24"/>
                <w:szCs w:val="24"/>
              </w:rPr>
              <w:t>Hector Garcia</w:t>
            </w:r>
          </w:p>
          <w:p w:rsidR="006F6050" w:rsidRDefault="006F6050" w:rsidP="006F6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E964C1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#85 </w:t>
            </w:r>
            <w:proofErr w:type="gramStart"/>
            <w:r>
              <w:rPr>
                <w:sz w:val="24"/>
                <w:szCs w:val="24"/>
              </w:rPr>
              <w:t>and  #</w:t>
            </w:r>
            <w:proofErr w:type="gramEnd"/>
            <w:r>
              <w:rPr>
                <w:sz w:val="24"/>
                <w:szCs w:val="24"/>
              </w:rPr>
              <w:t>106 combined:  Ben Jauregui and Lisa Hayes volunteered to work on a SNF/Assisted Living Transition Handbook during the October 20, 2020 CCI Advisory Meeting.</w:t>
            </w:r>
          </w:p>
          <w:p w:rsidR="00E964C1" w:rsidRDefault="00E964C1" w:rsidP="00E964C1">
            <w:pPr>
              <w:rPr>
                <w:sz w:val="24"/>
                <w:szCs w:val="24"/>
              </w:rPr>
            </w:pPr>
          </w:p>
          <w:p w:rsidR="00E964C1" w:rsidRDefault="00E964C1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Jauregui gave a brief overview with drafts for this project</w:t>
            </w:r>
            <w:r w:rsidR="00566E0B">
              <w:rPr>
                <w:sz w:val="24"/>
                <w:szCs w:val="24"/>
              </w:rPr>
              <w:t>.</w:t>
            </w:r>
          </w:p>
          <w:p w:rsidR="00566E0B" w:rsidRDefault="00566E0B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plan is to share the final draft at the December 15, 2020 CCI Advisory Meeting.</w:t>
            </w:r>
          </w:p>
          <w:p w:rsidR="00566E0B" w:rsidRDefault="00566E0B" w:rsidP="00E964C1">
            <w:pPr>
              <w:rPr>
                <w:sz w:val="24"/>
                <w:szCs w:val="24"/>
              </w:rPr>
            </w:pPr>
          </w:p>
          <w:p w:rsidR="00566E0B" w:rsidRDefault="00566E0B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#88   Follow up on </w:t>
            </w:r>
            <w:proofErr w:type="spellStart"/>
            <w:r>
              <w:rPr>
                <w:sz w:val="24"/>
                <w:szCs w:val="24"/>
              </w:rPr>
              <w:t>Aurrera</w:t>
            </w:r>
            <w:proofErr w:type="spellEnd"/>
            <w:r>
              <w:rPr>
                <w:sz w:val="24"/>
                <w:szCs w:val="24"/>
              </w:rPr>
              <w:t xml:space="preserve"> flyer cost and how Health Plans can assist.  Cassidy Acosta reported the intended audience for the flyers is the Public Authority in Riverside and San Bernardino Counties.</w:t>
            </w:r>
          </w:p>
          <w:p w:rsidR="00566E0B" w:rsidRDefault="00566E0B" w:rsidP="00E964C1">
            <w:pPr>
              <w:rPr>
                <w:sz w:val="24"/>
                <w:szCs w:val="24"/>
              </w:rPr>
            </w:pPr>
          </w:p>
          <w:p w:rsidR="00566E0B" w:rsidRDefault="00566E0B" w:rsidP="00566E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Cassidy will check with each county to see if they still want the flyers off-line as there was no representative from the Public Authority on the call.</w:t>
            </w:r>
          </w:p>
          <w:p w:rsidR="00566E0B" w:rsidRPr="00566E0B" w:rsidRDefault="00566E0B" w:rsidP="00566E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Cassidy reported </w:t>
            </w:r>
            <w:proofErr w:type="spellStart"/>
            <w:r>
              <w:rPr>
                <w:sz w:val="24"/>
                <w:szCs w:val="24"/>
              </w:rPr>
              <w:t>Aurrera</w:t>
            </w:r>
            <w:proofErr w:type="spellEnd"/>
            <w:r>
              <w:rPr>
                <w:sz w:val="24"/>
                <w:szCs w:val="24"/>
              </w:rPr>
              <w:t xml:space="preserve"> can cover the printing costs for the flyers</w:t>
            </w:r>
            <w:r w:rsidR="00FD7C3D">
              <w:rPr>
                <w:sz w:val="24"/>
                <w:szCs w:val="24"/>
              </w:rPr>
              <w:t xml:space="preserve"> instead of possible funding from the health plans.</w:t>
            </w:r>
          </w:p>
          <w:p w:rsidR="00566E0B" w:rsidRDefault="00566E0B" w:rsidP="00E9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66E0B" w:rsidRDefault="00566E0B" w:rsidP="00E964C1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F6050" w:rsidRPr="00E964C1" w:rsidRDefault="00E964C1" w:rsidP="006F60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Pending</w:t>
            </w:r>
          </w:p>
        </w:tc>
      </w:tr>
      <w:tr w:rsidR="006F6050" w:rsidTr="006F6050">
        <w:tc>
          <w:tcPr>
            <w:tcW w:w="5125" w:type="dxa"/>
          </w:tcPr>
          <w:p w:rsidR="006F6050" w:rsidRDefault="006F6050" w:rsidP="006F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r w:rsidR="002B7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Physician/Provider Topics</w:t>
            </w:r>
          </w:p>
          <w:p w:rsidR="00566E0B" w:rsidRDefault="00566E0B" w:rsidP="006F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6F6050" w:rsidRDefault="006F6050" w:rsidP="006F6050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566E0B" w:rsidP="0056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Sonia Barragan gave a PowerPoint presentation regarding an HCBA Overview.</w:t>
            </w:r>
          </w:p>
          <w:p w:rsidR="00566E0B" w:rsidRDefault="00566E0B" w:rsidP="00566E0B">
            <w:pPr>
              <w:rPr>
                <w:sz w:val="24"/>
                <w:szCs w:val="24"/>
              </w:rPr>
            </w:pPr>
          </w:p>
          <w:p w:rsidR="00566E0B" w:rsidRDefault="00566E0B" w:rsidP="0056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HCBA stands for Home &amp; Community Based Alternatives Waiver.</w:t>
            </w:r>
          </w:p>
          <w:p w:rsidR="00566E0B" w:rsidRDefault="00566E0B" w:rsidP="00566E0B">
            <w:pPr>
              <w:rPr>
                <w:sz w:val="24"/>
                <w:szCs w:val="24"/>
              </w:rPr>
            </w:pPr>
          </w:p>
          <w:p w:rsidR="00566E0B" w:rsidRDefault="00566E0B" w:rsidP="00566E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Individuals enrolled in the HCBA Waiver cannot be enrolled in another waiver program</w:t>
            </w:r>
          </w:p>
          <w:p w:rsidR="00566E0B" w:rsidRDefault="00566E0B" w:rsidP="00566E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Individuals enrolled </w:t>
            </w:r>
            <w:r w:rsidR="00903595">
              <w:rPr>
                <w:sz w:val="24"/>
                <w:szCs w:val="24"/>
              </w:rPr>
              <w:t>as duals with Molina (MMP) or IEHP (Dual Choice) do not qualify for the HCBA Waiver</w:t>
            </w:r>
          </w:p>
          <w:p w:rsidR="00903595" w:rsidRDefault="00903595" w:rsidP="00566E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Duty Nursing is one of the benefits for consumers enrolled in the HCBA Waiver.</w:t>
            </w:r>
          </w:p>
          <w:p w:rsidR="00903595" w:rsidRPr="00566E0B" w:rsidRDefault="00903595" w:rsidP="00566E0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COVID-19, all Case Management provided through the HCBA Waiver is telephonic</w:t>
            </w:r>
          </w:p>
        </w:tc>
        <w:tc>
          <w:tcPr>
            <w:tcW w:w="2155" w:type="dxa"/>
          </w:tcPr>
          <w:p w:rsidR="006F6050" w:rsidRPr="00903595" w:rsidRDefault="00903595" w:rsidP="006F60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Action Required</w:t>
            </w:r>
          </w:p>
        </w:tc>
      </w:tr>
      <w:tr w:rsidR="006F6050" w:rsidTr="006F6050">
        <w:tc>
          <w:tcPr>
            <w:tcW w:w="5125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  Outreach Events</w:t>
            </w: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FD7C3D" w:rsidP="00FD7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Cassidy Acosta from </w:t>
            </w:r>
            <w:proofErr w:type="spellStart"/>
            <w:r>
              <w:rPr>
                <w:sz w:val="24"/>
                <w:szCs w:val="24"/>
              </w:rPr>
              <w:t>Aurrera</w:t>
            </w:r>
            <w:proofErr w:type="spellEnd"/>
            <w:r>
              <w:rPr>
                <w:sz w:val="24"/>
                <w:szCs w:val="24"/>
              </w:rPr>
              <w:t xml:space="preserve"> reported the focus for community outreach includes Senior Centers with presentations for advocates and beneficiaries.</w:t>
            </w:r>
          </w:p>
          <w:p w:rsidR="00FD7C3D" w:rsidRDefault="00FD7C3D" w:rsidP="00FD7C3D">
            <w:pPr>
              <w:rPr>
                <w:sz w:val="24"/>
                <w:szCs w:val="24"/>
              </w:rPr>
            </w:pPr>
          </w:p>
          <w:p w:rsidR="00FD7C3D" w:rsidRDefault="00FD7C3D" w:rsidP="00FD7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Aurrera</w:t>
            </w:r>
            <w:proofErr w:type="spellEnd"/>
            <w:r>
              <w:rPr>
                <w:sz w:val="24"/>
                <w:szCs w:val="24"/>
              </w:rPr>
              <w:t xml:space="preserve"> is coordinating Virtual Health Fairs with an upcoming event on 12/15/2020 where participants can share resources from their virtual booths.  Anyone interested in participating in this virtual health fair should contact Cassidy Acosta.</w:t>
            </w:r>
          </w:p>
          <w:p w:rsidR="00FD7C3D" w:rsidRDefault="00FD7C3D" w:rsidP="00FD7C3D">
            <w:pPr>
              <w:rPr>
                <w:sz w:val="24"/>
                <w:szCs w:val="24"/>
              </w:rPr>
            </w:pPr>
          </w:p>
          <w:p w:rsidR="00FD7C3D" w:rsidRDefault="00FD7C3D" w:rsidP="00FD7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Aurrera</w:t>
            </w:r>
            <w:proofErr w:type="spellEnd"/>
            <w:r>
              <w:rPr>
                <w:sz w:val="24"/>
                <w:szCs w:val="24"/>
              </w:rPr>
              <w:t xml:space="preserve"> is partnering with CMS regarding the annual flu campaign.</w:t>
            </w:r>
          </w:p>
          <w:p w:rsidR="00FD7C3D" w:rsidRDefault="00FD7C3D" w:rsidP="00FD7C3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F6050" w:rsidRPr="00903595" w:rsidRDefault="00903595" w:rsidP="006F60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Action Required</w:t>
            </w:r>
          </w:p>
        </w:tc>
      </w:tr>
      <w:tr w:rsidR="006F6050" w:rsidTr="006F6050">
        <w:tc>
          <w:tcPr>
            <w:tcW w:w="5125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 Stakeholder Experience</w:t>
            </w: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FD7C3D" w:rsidP="00FD7C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CBAS – None reported</w:t>
            </w:r>
          </w:p>
          <w:p w:rsidR="00FD7C3D" w:rsidRDefault="00FD7C3D" w:rsidP="00FD7C3D">
            <w:pPr>
              <w:pStyle w:val="ListParagraph"/>
              <w:ind w:left="525"/>
              <w:rPr>
                <w:sz w:val="24"/>
                <w:szCs w:val="24"/>
              </w:rPr>
            </w:pPr>
          </w:p>
          <w:p w:rsidR="00FD7C3D" w:rsidRDefault="00FD7C3D" w:rsidP="00FD7C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IHSS – None reported</w:t>
            </w:r>
          </w:p>
          <w:p w:rsidR="00FD7C3D" w:rsidRPr="00E359DD" w:rsidRDefault="00FD7C3D" w:rsidP="00E359DD">
            <w:pPr>
              <w:rPr>
                <w:sz w:val="24"/>
                <w:szCs w:val="24"/>
              </w:rPr>
            </w:pPr>
          </w:p>
          <w:p w:rsidR="00FD7C3D" w:rsidRDefault="00FD7C3D" w:rsidP="00FD7C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LTC – None reported</w:t>
            </w:r>
          </w:p>
          <w:p w:rsidR="00E359DD" w:rsidRPr="00E359DD" w:rsidRDefault="00E359DD" w:rsidP="00E359DD">
            <w:pPr>
              <w:rPr>
                <w:sz w:val="24"/>
                <w:szCs w:val="24"/>
              </w:rPr>
            </w:pPr>
          </w:p>
          <w:p w:rsidR="00FD7C3D" w:rsidRDefault="00FD7C3D" w:rsidP="00FD7C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Network</w:t>
            </w:r>
            <w:r w:rsidR="00E359DD">
              <w:rPr>
                <w:sz w:val="24"/>
                <w:szCs w:val="24"/>
              </w:rPr>
              <w:t xml:space="preserve"> – Sheila Johnson from San Bernardino County Department of Aging and Adult Services reported she is working on the new MOU for 2021 with IEHP and Molina Healthcare</w:t>
            </w:r>
          </w:p>
          <w:p w:rsidR="00E359DD" w:rsidRDefault="00E359DD" w:rsidP="00E359DD">
            <w:pPr>
              <w:pStyle w:val="ListParagraph"/>
              <w:rPr>
                <w:sz w:val="24"/>
                <w:szCs w:val="24"/>
              </w:rPr>
            </w:pPr>
          </w:p>
          <w:p w:rsidR="00E359DD" w:rsidRPr="00E359DD" w:rsidRDefault="00E359DD" w:rsidP="00E359DD">
            <w:pPr>
              <w:pStyle w:val="ListParagraph"/>
              <w:rPr>
                <w:sz w:val="24"/>
                <w:szCs w:val="24"/>
              </w:rPr>
            </w:pPr>
          </w:p>
          <w:p w:rsidR="00E359DD" w:rsidRPr="00E359DD" w:rsidRDefault="00E359DD" w:rsidP="00E359DD">
            <w:pPr>
              <w:pStyle w:val="ListParagraph"/>
              <w:ind w:left="525"/>
              <w:rPr>
                <w:sz w:val="24"/>
                <w:szCs w:val="24"/>
              </w:rPr>
            </w:pPr>
          </w:p>
          <w:p w:rsidR="00FD7C3D" w:rsidRPr="00FD7C3D" w:rsidRDefault="00FD7C3D" w:rsidP="00FD7C3D">
            <w:pPr>
              <w:pStyle w:val="ListParagraph"/>
              <w:ind w:left="525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F6050" w:rsidRPr="00903595" w:rsidRDefault="00903595" w:rsidP="006F60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Action Required</w:t>
            </w:r>
          </w:p>
        </w:tc>
      </w:tr>
      <w:tr w:rsidR="006F6050" w:rsidTr="006F6050">
        <w:tc>
          <w:tcPr>
            <w:tcW w:w="5125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  Ombudsman Report Out and Updates</w:t>
            </w: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representative from Inland County Legal Services was absent from the meeting.</w:t>
            </w:r>
          </w:p>
        </w:tc>
        <w:tc>
          <w:tcPr>
            <w:tcW w:w="2155" w:type="dxa"/>
          </w:tcPr>
          <w:p w:rsidR="006F6050" w:rsidRPr="00903595" w:rsidRDefault="002B7265" w:rsidP="002B7265">
            <w:pPr>
              <w:rPr>
                <w:i/>
                <w:sz w:val="24"/>
                <w:szCs w:val="24"/>
              </w:rPr>
            </w:pPr>
            <w:r w:rsidRPr="00903595">
              <w:rPr>
                <w:i/>
                <w:sz w:val="24"/>
                <w:szCs w:val="24"/>
              </w:rPr>
              <w:t>Report and updates to be given at December 15, 2020 meeting</w:t>
            </w:r>
          </w:p>
        </w:tc>
      </w:tr>
      <w:tr w:rsidR="006F6050" w:rsidTr="006F6050">
        <w:tc>
          <w:tcPr>
            <w:tcW w:w="5125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 Public Comment</w:t>
            </w: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6F6050" w:rsidRDefault="00E359DD" w:rsidP="00E3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Kristine Loomis requested any additional updates regarding the issues earlier this year related to </w:t>
            </w:r>
            <w:proofErr w:type="spellStart"/>
            <w:r>
              <w:rPr>
                <w:sz w:val="24"/>
                <w:szCs w:val="24"/>
              </w:rPr>
              <w:t>Medi</w:t>
            </w:r>
            <w:proofErr w:type="spellEnd"/>
            <w:r>
              <w:rPr>
                <w:sz w:val="24"/>
                <w:szCs w:val="24"/>
              </w:rPr>
              <w:t>-Cal eligibility for consumers.</w:t>
            </w:r>
          </w:p>
          <w:p w:rsidR="00E359DD" w:rsidRDefault="00E359DD" w:rsidP="00E359D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F6050" w:rsidRDefault="006F6050" w:rsidP="006F6050">
            <w:pPr>
              <w:jc w:val="center"/>
              <w:rPr>
                <w:sz w:val="24"/>
                <w:szCs w:val="24"/>
              </w:rPr>
            </w:pPr>
          </w:p>
        </w:tc>
      </w:tr>
      <w:tr w:rsidR="006F6050" w:rsidTr="006F6050">
        <w:tc>
          <w:tcPr>
            <w:tcW w:w="5125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  Next Steps</w:t>
            </w: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E359DD" w:rsidRDefault="00E359DD" w:rsidP="00E3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Action Log</w:t>
            </w:r>
          </w:p>
        </w:tc>
        <w:tc>
          <w:tcPr>
            <w:tcW w:w="2155" w:type="dxa"/>
          </w:tcPr>
          <w:p w:rsidR="006F6050" w:rsidRDefault="006F6050" w:rsidP="006F6050">
            <w:pPr>
              <w:jc w:val="center"/>
              <w:rPr>
                <w:sz w:val="24"/>
                <w:szCs w:val="24"/>
              </w:rPr>
            </w:pPr>
          </w:p>
        </w:tc>
      </w:tr>
      <w:tr w:rsidR="006F6050" w:rsidTr="006F6050">
        <w:tc>
          <w:tcPr>
            <w:tcW w:w="5125" w:type="dxa"/>
          </w:tcPr>
          <w:p w:rsidR="006F6050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   Closing Comments</w:t>
            </w:r>
          </w:p>
          <w:p w:rsidR="002B7265" w:rsidRDefault="002B7265" w:rsidP="002B726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E359DD" w:rsidRDefault="00E359DD" w:rsidP="00E35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IEHP and Molina Healthcare need to identify new members to participate in the 2021 CCI Advisory Committee.</w:t>
            </w:r>
          </w:p>
          <w:p w:rsidR="006F6050" w:rsidRDefault="00E359DD" w:rsidP="00E35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individuals will be nominated and a vote taken at the December 15, 2020 CCI Advisory Meeting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6F6050" w:rsidRDefault="006F6050" w:rsidP="006F6050">
            <w:pPr>
              <w:jc w:val="center"/>
              <w:rPr>
                <w:sz w:val="24"/>
                <w:szCs w:val="24"/>
              </w:rPr>
            </w:pPr>
          </w:p>
        </w:tc>
      </w:tr>
      <w:tr w:rsidR="002B7265" w:rsidTr="006F6050">
        <w:tc>
          <w:tcPr>
            <w:tcW w:w="5125" w:type="dxa"/>
          </w:tcPr>
          <w:p w:rsidR="002B7265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  Next Meeting</w:t>
            </w:r>
          </w:p>
        </w:tc>
        <w:tc>
          <w:tcPr>
            <w:tcW w:w="6390" w:type="dxa"/>
          </w:tcPr>
          <w:p w:rsidR="002B7265" w:rsidRDefault="002B7265" w:rsidP="002B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December 15, 2020, 1:30pm – 2:30pm</w:t>
            </w:r>
          </w:p>
        </w:tc>
        <w:tc>
          <w:tcPr>
            <w:tcW w:w="2155" w:type="dxa"/>
          </w:tcPr>
          <w:p w:rsidR="002B7265" w:rsidRDefault="002B7265" w:rsidP="006F60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6050" w:rsidRPr="006F6050" w:rsidRDefault="006F6050" w:rsidP="006F6050">
      <w:pPr>
        <w:jc w:val="center"/>
        <w:rPr>
          <w:sz w:val="24"/>
          <w:szCs w:val="24"/>
        </w:rPr>
      </w:pPr>
    </w:p>
    <w:sectPr w:rsidR="006F6050" w:rsidRPr="006F6050" w:rsidSect="006F605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4F2"/>
    <w:multiLevelType w:val="hybridMultilevel"/>
    <w:tmpl w:val="C9625124"/>
    <w:lvl w:ilvl="0" w:tplc="6672A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C1077"/>
    <w:multiLevelType w:val="hybridMultilevel"/>
    <w:tmpl w:val="DBDABC88"/>
    <w:lvl w:ilvl="0" w:tplc="7298B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62C63"/>
    <w:multiLevelType w:val="hybridMultilevel"/>
    <w:tmpl w:val="B83AFEF4"/>
    <w:lvl w:ilvl="0" w:tplc="D4FC8646">
      <w:start w:val="85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7F860B9A"/>
    <w:multiLevelType w:val="hybridMultilevel"/>
    <w:tmpl w:val="6BF88D4E"/>
    <w:lvl w:ilvl="0" w:tplc="7E2E3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0"/>
    <w:rsid w:val="002B7265"/>
    <w:rsid w:val="00566E0B"/>
    <w:rsid w:val="006F6050"/>
    <w:rsid w:val="00903595"/>
    <w:rsid w:val="00D21E01"/>
    <w:rsid w:val="00E359DD"/>
    <w:rsid w:val="00E964C1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60178-0339-417A-9423-B4022754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Healthcare, Inc.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Betsy</dc:creator>
  <cp:keywords/>
  <dc:description/>
  <cp:lastModifiedBy>Roberts, Betsy</cp:lastModifiedBy>
  <cp:revision>2</cp:revision>
  <cp:lastPrinted>2020-11-24T21:47:00Z</cp:lastPrinted>
  <dcterms:created xsi:type="dcterms:W3CDTF">2020-11-24T21:50:00Z</dcterms:created>
  <dcterms:modified xsi:type="dcterms:W3CDTF">2020-11-24T21:50:00Z</dcterms:modified>
</cp:coreProperties>
</file>